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Wisconsin law, will be issued by the date you would regularly have been paid under our payroll schedule (Wis. Stat. § 109.03(2)).</w:t>
      </w:r>
    </w:p>
    <w:p>
      <w:r>
        <w:t xml:space="preserve">[Note to employer, delete before issuing: Wisconsin may set a different final-pay deadline for a resignation (Wis. Stat. § 109.03(2)) than for a discharge, and Wisconsin's PTO payout rule is: Owed unless a written policy clearly provides for forfeiture. This letter uses the discharge deadline. If you treat job abandonment as a resignation but a state agency later treats it as a discharge, the discharge deadline governs, so pay by the earlier of the two when in doubt. Both deadlines and the PTO rule are set out on the Wisconsin guide at absentease.net/resources/wisconsin-sick-leave-law.]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