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District of Columbia law, will be issued no later than the working day after your separation (D.C. Code § 32-1303(1); penalty § 32-1303(4)).</w:t>
      </w:r>
    </w:p>
    <w:p>
      <w:r>
        <w:t xml:space="preserve">[Note to employer, delete before issuing: District of Columbia may set a different final-pay deadline for a resignation (D.C. Code § 32-1303(2)) than for a discharge, and District of Columbia's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District of Columbia guide at absentease.net/resources/washington-dc-sick-leave-law.]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