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South Dakota law, will be issued no later than the next regular payday, or as soon after it as all company property in your possession is returned (SDCL § 60-11-10).</w:t>
      </w:r>
    </w:p>
    <w:p>
      <w:r>
        <w:t xml:space="preserve">[Note to employer, delete before issuing: South Dakota may set a different final-pay deadline for a resignation (SDCL § 60-11-11) than for a discharge, and South Dakota's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South Dakota guide at absentease.net/resources/south-dakota-sick-leave-law.]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