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Oklahoma law, will be issued at the next regular designated payday for the pay period in which the work was performed (Okla. Stat. tit. 40, § 165.3(A); § 165.3(B) (liquidated damages)).</w:t>
      </w:r>
    </w:p>
    <w:p>
      <w:r>
        <w:t xml:space="preserve">[Note to employer, delete before issuing: Oklahoma may set a different final-pay deadline for a resignation (Okla. Stat. tit. 40, § 165.3(A)) than for a discharge, and Oklahoma's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Oklahoma guide at absentease.net/resources/oklahoma-sick-leave-law.]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