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Nevada law, will be issued on your separation date, as Nevada requires immediate payment on discharge (Nev. Rev. Stat. § 608.020(1); penalty § 608.040(1)(a)).</w:t>
      </w:r>
    </w:p>
    <w:p>
      <w:r>
        <w:t xml:space="preserve">[Note to employer, delete before issuing: Nevada may set a different final-pay deadline for a resignation (Nev. Rev. Stat. § 608.030; penalty § 608.040(1)(c)) than for a discharge, and Nevada's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Nevada guide at absentease.net/resources/nevada-sick-leave-law.]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