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Mississippi law, will be issued on the next regular payday, as Mississippi sets no separate final-pay deadline (Miss. Code Ann. § 71-1-35 (general pay-frequency statute; no termination deadline)).</w:t>
      </w:r>
    </w:p>
    <w:p>
      <w:r>
        <w:t xml:space="preserve">[Note to employer, delete before issuing: Mississippi may set a different final-pay deadline for a resignation (Miss. Code Ann. § 71-1-35 (general pay-frequency statute; no termination deadline)) than for a discharge, and Mississippi's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Mississippi guide at absentease.net/resources/mississippi-sick-leave-law.]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