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Idaho law, will be issued by the earlier of the next regularly scheduled payday or ten days after your separation, weekends and holidays excluded (Idaho Code § 45-606(1); penalty § 45-607).</w:t>
      </w:r>
    </w:p>
    <w:p>
      <w:r>
        <w:t xml:space="preserve">[Note to employer, delete before issuing: Idaho may set a different final-pay deadline for a resignation (Idaho Code § 45-606(1)) than for a discharge, and Idaho's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Idaho guide at absentease.net/resources/idaho-sick-leave-law.]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