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Hawaii law, will be issued at the time of your separation, or no later than the next working day if immediate payment was not possible (Haw. Rev. Stat. § 388-3(a)).</w:t>
      </w:r>
    </w:p>
    <w:p>
      <w:r>
        <w:t xml:space="preserve">[Note to employer, delete before issuing: Hawaii may set a different final-pay deadline for a resignation (Haw. Rev. Stat. § 388-3(b)) than for a discharge, and Hawaii's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Hawaii guide at absentease.net/resources/hawaii-sick-leave-law.]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