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Delaware law, will be issued on the later of the next regular payday for the period through your last day worked or three business days after that day (Del. Code Ann. tit. 19, § 1103(a)(1); penalty § 1103(b)(2)).</w:t>
      </w:r>
    </w:p>
    <w:p>
      <w:r>
        <w:t xml:space="preserve">[Note to employer, delete before issuing: Delaware may set a different final-pay deadline for a resignation (Del. Code Ann. tit. 19, § 1103(a)(1)-(2)) than for a discharge, and Delaware's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Delaware guide at absentease.net/resources/delaware-sick-leave-law.]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