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state law, will be issued [by the deadline your state sets for a discharge, or the next regular payday if your state sets none].</w:t>
      </w:r>
    </w:p>
    <w:p>
      <w:r>
        <w:t xml:space="preserve">[Note to employer, delete before issuing: final-pay deadlines and PTO payout are set by state law and often differ for a discharge versus a resignation. Choose your state on the write-up page at absentease.net to fill this paragraph in.]</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